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8CA2" w14:textId="77777777" w:rsidR="00E60900" w:rsidRDefault="00FF798C" w:rsidP="00E60900">
      <w:pPr>
        <w:spacing w:before="300" w:after="300"/>
        <w:rPr>
          <w:b/>
          <w:bCs/>
          <w:color w:val="48076B"/>
        </w:rPr>
      </w:pPr>
      <w:r>
        <w:rPr>
          <w:b/>
          <w:bCs/>
          <w:color w:val="48076B"/>
        </w:rPr>
        <w:t>Level of Fees in Employment</w:t>
      </w:r>
      <w:r w:rsidR="00E60900">
        <w:rPr>
          <w:b/>
          <w:bCs/>
          <w:color w:val="48076B"/>
        </w:rPr>
        <w:t xml:space="preserve"> Cases</w:t>
      </w:r>
    </w:p>
    <w:p w14:paraId="4CF2E730" w14:textId="77777777" w:rsidR="00E60900" w:rsidRDefault="00E60900" w:rsidP="00E60900">
      <w:pPr>
        <w:spacing w:before="300" w:after="300"/>
        <w:rPr>
          <w:b/>
          <w:bCs/>
          <w:color w:val="48076B"/>
        </w:rPr>
      </w:pPr>
      <w:r>
        <w:rPr>
          <w:b/>
          <w:bCs/>
          <w:color w:val="48076B"/>
        </w:rPr>
        <w:t>Privately funded work</w:t>
      </w:r>
    </w:p>
    <w:p w14:paraId="1D9BE917" w14:textId="77777777" w:rsidR="00E60900" w:rsidRDefault="00E60900" w:rsidP="00E60900">
      <w:pPr>
        <w:spacing w:before="300" w:after="300"/>
      </w:pPr>
      <w:r>
        <w:rPr>
          <w:b/>
          <w:bCs/>
          <w:color w:val="48076B"/>
        </w:rPr>
        <w:t>Hearing Fees</w:t>
      </w:r>
    </w:p>
    <w:p w14:paraId="0149EA3B" w14:textId="77777777" w:rsidR="00E60900" w:rsidRDefault="00E60900" w:rsidP="00E60900">
      <w:pPr>
        <w:spacing w:before="100" w:beforeAutospacing="1" w:after="100" w:afterAutospacing="1"/>
        <w:rPr>
          <w:color w:val="161A23"/>
        </w:rPr>
      </w:pPr>
      <w:r>
        <w:rPr>
          <w:color w:val="161A23"/>
        </w:rPr>
        <w:t>The level of</w:t>
      </w:r>
      <w:r w:rsidR="00FF798C">
        <w:rPr>
          <w:color w:val="161A23"/>
        </w:rPr>
        <w:t xml:space="preserve"> fees in privately funded Employment</w:t>
      </w:r>
      <w:r>
        <w:rPr>
          <w:color w:val="161A23"/>
        </w:rPr>
        <w:t xml:space="preserve"> cases in respect of hearings will be,</w:t>
      </w:r>
      <w:r>
        <w:t xml:space="preserve"> </w:t>
      </w:r>
      <w:r>
        <w:rPr>
          <w:color w:val="161A23"/>
        </w:rPr>
        <w:t xml:space="preserve">wherever possible, agreed with you after delivery of the brief and prior to the hearing based upon the following criteria: </w:t>
      </w:r>
    </w:p>
    <w:p w14:paraId="0BAB88DE" w14:textId="77777777" w:rsidR="00E60900" w:rsidRDefault="00E60900" w:rsidP="00D54E82">
      <w:pPr>
        <w:pStyle w:val="ListParagraph"/>
        <w:numPr>
          <w:ilvl w:val="0"/>
          <w:numId w:val="7"/>
        </w:numPr>
        <w:spacing w:before="100" w:beforeAutospacing="1" w:after="100" w:afterAutospacing="1"/>
        <w:rPr>
          <w:color w:val="161A23"/>
        </w:rPr>
      </w:pPr>
      <w:r>
        <w:rPr>
          <w:color w:val="161A23"/>
        </w:rPr>
        <w:t>Seniority/expertise of Counsel instructed;</w:t>
      </w:r>
    </w:p>
    <w:p w14:paraId="4EAE5F4D" w14:textId="77777777" w:rsidR="00E60900" w:rsidRPr="00FA42B6" w:rsidRDefault="00E60900" w:rsidP="00D54E82">
      <w:pPr>
        <w:pStyle w:val="ListParagraph"/>
        <w:numPr>
          <w:ilvl w:val="0"/>
          <w:numId w:val="7"/>
        </w:numPr>
        <w:spacing w:before="100" w:beforeAutospacing="1" w:after="100" w:afterAutospacing="1"/>
        <w:rPr>
          <w:color w:val="161A23"/>
        </w:rPr>
      </w:pPr>
      <w:r>
        <w:rPr>
          <w:color w:val="161A23"/>
        </w:rPr>
        <w:t>Complexity of the case;</w:t>
      </w:r>
    </w:p>
    <w:p w14:paraId="128AEA39" w14:textId="77777777" w:rsidR="00E60900" w:rsidRDefault="00E60900" w:rsidP="00D54E82">
      <w:pPr>
        <w:pStyle w:val="ListParagraph"/>
        <w:numPr>
          <w:ilvl w:val="0"/>
          <w:numId w:val="7"/>
        </w:numPr>
        <w:spacing w:before="100" w:beforeAutospacing="1" w:after="100" w:afterAutospacing="1"/>
        <w:rPr>
          <w:color w:val="161A23"/>
        </w:rPr>
      </w:pPr>
      <w:r>
        <w:rPr>
          <w:color w:val="161A23"/>
        </w:rPr>
        <w:t>The seriousness of the allegations;</w:t>
      </w:r>
    </w:p>
    <w:p w14:paraId="76485562" w14:textId="77777777" w:rsidR="00E60900" w:rsidRDefault="00E60900" w:rsidP="00D54E82">
      <w:pPr>
        <w:pStyle w:val="ListParagraph"/>
        <w:numPr>
          <w:ilvl w:val="0"/>
          <w:numId w:val="7"/>
        </w:numPr>
        <w:spacing w:before="100" w:beforeAutospacing="1" w:after="100" w:afterAutospacing="1"/>
        <w:rPr>
          <w:color w:val="161A23"/>
        </w:rPr>
      </w:pPr>
      <w:r>
        <w:rPr>
          <w:color w:val="161A23"/>
        </w:rPr>
        <w:t>Preparation time;</w:t>
      </w:r>
    </w:p>
    <w:p w14:paraId="50009825" w14:textId="77777777" w:rsidR="00E60900" w:rsidRDefault="00E60900" w:rsidP="00D54E82">
      <w:pPr>
        <w:pStyle w:val="ListParagraph"/>
        <w:numPr>
          <w:ilvl w:val="0"/>
          <w:numId w:val="7"/>
        </w:numPr>
        <w:spacing w:before="100" w:beforeAutospacing="1" w:after="100" w:afterAutospacing="1"/>
        <w:rPr>
          <w:color w:val="161A23"/>
        </w:rPr>
      </w:pPr>
      <w:r>
        <w:rPr>
          <w:color w:val="161A23"/>
        </w:rPr>
        <w:t>Length of hearing;</w:t>
      </w:r>
    </w:p>
    <w:p w14:paraId="41D9B3E9" w14:textId="77777777" w:rsidR="00E60900" w:rsidRDefault="00E60900" w:rsidP="00D54E82">
      <w:pPr>
        <w:pStyle w:val="ListParagraph"/>
        <w:numPr>
          <w:ilvl w:val="0"/>
          <w:numId w:val="7"/>
        </w:numPr>
        <w:spacing w:before="100" w:beforeAutospacing="1" w:after="100" w:afterAutospacing="1"/>
        <w:rPr>
          <w:color w:val="161A23"/>
        </w:rPr>
      </w:pPr>
      <w:r>
        <w:rPr>
          <w:color w:val="161A23"/>
        </w:rPr>
        <w:t>Any e</w:t>
      </w:r>
      <w:r w:rsidR="00823BB5">
        <w:rPr>
          <w:color w:val="161A23"/>
        </w:rPr>
        <w:t>xpenses such as hotel or travel</w:t>
      </w:r>
    </w:p>
    <w:p w14:paraId="57D7BDC5" w14:textId="77777777" w:rsidR="00E60900" w:rsidRDefault="00E60900" w:rsidP="00E60900">
      <w:pPr>
        <w:spacing w:before="300" w:after="300"/>
      </w:pPr>
      <w:r>
        <w:rPr>
          <w:b/>
          <w:bCs/>
          <w:color w:val="48076B"/>
        </w:rPr>
        <w:t>Conference Fees</w:t>
      </w:r>
    </w:p>
    <w:p w14:paraId="0A981D64" w14:textId="77777777" w:rsidR="00E60900" w:rsidRDefault="00E60900" w:rsidP="00823BB5">
      <w:r>
        <w:t>Conference f</w:t>
      </w:r>
      <w:r w:rsidR="00755623">
        <w:t xml:space="preserve">ees can be </w:t>
      </w:r>
      <w:r>
        <w:t>agree</w:t>
      </w:r>
      <w:r w:rsidR="00755623">
        <w:t>d</w:t>
      </w:r>
      <w:r>
        <w:t xml:space="preserve"> with us an hourly rate for preparation time and length of conference in advance of the conference</w:t>
      </w:r>
      <w:r w:rsidR="00755623">
        <w:t xml:space="preserve"> happening</w:t>
      </w:r>
      <w:r>
        <w:t xml:space="preserve">. The hourly rate will be based upon </w:t>
      </w:r>
      <w:r w:rsidR="00755623">
        <w:t xml:space="preserve">the </w:t>
      </w:r>
      <w:r>
        <w:t>criteria ab</w:t>
      </w:r>
      <w:r w:rsidR="0094490E">
        <w:t>ove, as applicable.</w:t>
      </w:r>
    </w:p>
    <w:p w14:paraId="08AC2B3F" w14:textId="77777777" w:rsidR="00FF798C" w:rsidRDefault="00E60900" w:rsidP="00FF798C">
      <w:pPr>
        <w:spacing w:before="300" w:after="300"/>
      </w:pPr>
      <w:r>
        <w:rPr>
          <w:b/>
          <w:bCs/>
          <w:color w:val="48076B"/>
        </w:rPr>
        <w:t>Paperwork Fees</w:t>
      </w:r>
    </w:p>
    <w:p w14:paraId="5003BFEA" w14:textId="77777777" w:rsidR="00E60900" w:rsidRPr="00FF798C" w:rsidRDefault="00E60900" w:rsidP="00FF798C">
      <w:pPr>
        <w:spacing w:before="300" w:after="300"/>
      </w:pPr>
      <w:r>
        <w:rPr>
          <w:bCs/>
          <w:color w:val="161A23"/>
        </w:rPr>
        <w:t>Paperwork</w:t>
      </w:r>
      <w:r w:rsidR="00755623">
        <w:rPr>
          <w:bCs/>
          <w:color w:val="161A23"/>
        </w:rPr>
        <w:t xml:space="preserve"> fees can be agreed as a fixed</w:t>
      </w:r>
      <w:r>
        <w:rPr>
          <w:bCs/>
          <w:color w:val="161A23"/>
        </w:rPr>
        <w:t xml:space="preserve"> fee, within the brief fee for a hearing; or you may wish to agree with us an hourly rate for preparation time in advance. The hourly rate will be based upon criteria above, as applicable. Otherwise, fees for paperwork will be assessed after the paperwork has been completed and based upon criteria above, as applicable.</w:t>
      </w:r>
    </w:p>
    <w:p w14:paraId="3AE65E68" w14:textId="77777777" w:rsidR="00E60900" w:rsidRPr="00E97966" w:rsidRDefault="00FF798C" w:rsidP="00E60900">
      <w:pPr>
        <w:spacing w:before="100" w:beforeAutospacing="1" w:after="100" w:afterAutospacing="1" w:line="450" w:lineRule="atLeast"/>
        <w:rPr>
          <w:b/>
          <w:bCs/>
          <w:color w:val="7030A0"/>
        </w:rPr>
      </w:pPr>
      <w:r w:rsidRPr="00E97966">
        <w:rPr>
          <w:b/>
          <w:bCs/>
          <w:color w:val="7030A0"/>
        </w:rPr>
        <w:t>Insurance</w:t>
      </w:r>
      <w:r w:rsidR="00FA42B6" w:rsidRPr="00E97966">
        <w:rPr>
          <w:b/>
          <w:bCs/>
          <w:color w:val="7030A0"/>
        </w:rPr>
        <w:t xml:space="preserve"> funded work</w:t>
      </w:r>
    </w:p>
    <w:p w14:paraId="32C092ED" w14:textId="77777777" w:rsidR="00FA42B6" w:rsidRDefault="00FA42B6" w:rsidP="00E60900">
      <w:pPr>
        <w:spacing w:before="100" w:beforeAutospacing="1" w:after="100" w:afterAutospacing="1" w:line="450" w:lineRule="atLeast"/>
        <w:rPr>
          <w:bCs/>
          <w:color w:val="000000" w:themeColor="text1"/>
        </w:rPr>
      </w:pPr>
      <w:r>
        <w:rPr>
          <w:bCs/>
          <w:color w:val="000000" w:themeColor="text1"/>
        </w:rPr>
        <w:t>All insurance cases will need to have fees agreed before any work is commenced, in order for us to provide you with a fee quote we will need to take the below into consideration</w:t>
      </w:r>
      <w:r w:rsidR="00D54E82">
        <w:rPr>
          <w:bCs/>
          <w:color w:val="000000" w:themeColor="text1"/>
        </w:rPr>
        <w:t>.</w:t>
      </w:r>
    </w:p>
    <w:p w14:paraId="20D14B17" w14:textId="77777777" w:rsidR="00D54E82" w:rsidRDefault="00D54E82" w:rsidP="00D54E82">
      <w:pPr>
        <w:pStyle w:val="ListParagraph"/>
        <w:numPr>
          <w:ilvl w:val="0"/>
          <w:numId w:val="6"/>
        </w:numPr>
        <w:spacing w:before="100" w:beforeAutospacing="1" w:after="100" w:afterAutospacing="1"/>
        <w:rPr>
          <w:color w:val="161A23"/>
        </w:rPr>
      </w:pPr>
      <w:r>
        <w:rPr>
          <w:color w:val="161A23"/>
        </w:rPr>
        <w:t>Seniority/expertise of Counsel instructed;</w:t>
      </w:r>
    </w:p>
    <w:p w14:paraId="183A85A7" w14:textId="77777777" w:rsidR="00D54E82" w:rsidRPr="00FA42B6" w:rsidRDefault="00D54E82" w:rsidP="00D54E82">
      <w:pPr>
        <w:pStyle w:val="ListParagraph"/>
        <w:numPr>
          <w:ilvl w:val="0"/>
          <w:numId w:val="6"/>
        </w:numPr>
        <w:spacing w:before="100" w:beforeAutospacing="1" w:after="100" w:afterAutospacing="1"/>
        <w:rPr>
          <w:color w:val="161A23"/>
        </w:rPr>
      </w:pPr>
      <w:r>
        <w:rPr>
          <w:color w:val="161A23"/>
        </w:rPr>
        <w:t>Complexity of the case;</w:t>
      </w:r>
    </w:p>
    <w:p w14:paraId="18261869" w14:textId="77777777" w:rsidR="00D54E82" w:rsidRDefault="00D54E82" w:rsidP="00D54E82">
      <w:pPr>
        <w:pStyle w:val="ListParagraph"/>
        <w:numPr>
          <w:ilvl w:val="0"/>
          <w:numId w:val="6"/>
        </w:numPr>
        <w:spacing w:before="100" w:beforeAutospacing="1" w:after="100" w:afterAutospacing="1"/>
        <w:rPr>
          <w:color w:val="161A23"/>
        </w:rPr>
      </w:pPr>
      <w:r>
        <w:rPr>
          <w:color w:val="161A23"/>
        </w:rPr>
        <w:t>The seriousness of the allegations;</w:t>
      </w:r>
    </w:p>
    <w:p w14:paraId="0883253A" w14:textId="77777777" w:rsidR="00D54E82" w:rsidRDefault="00D54E82" w:rsidP="00D54E82">
      <w:pPr>
        <w:pStyle w:val="ListParagraph"/>
        <w:numPr>
          <w:ilvl w:val="0"/>
          <w:numId w:val="6"/>
        </w:numPr>
        <w:spacing w:before="100" w:beforeAutospacing="1" w:after="100" w:afterAutospacing="1"/>
        <w:rPr>
          <w:color w:val="161A23"/>
        </w:rPr>
      </w:pPr>
      <w:r>
        <w:rPr>
          <w:color w:val="161A23"/>
        </w:rPr>
        <w:t>Preparation time;</w:t>
      </w:r>
    </w:p>
    <w:p w14:paraId="2A37D493" w14:textId="77777777" w:rsidR="00D54E82" w:rsidRDefault="00D54E82" w:rsidP="00D54E82">
      <w:pPr>
        <w:pStyle w:val="ListParagraph"/>
        <w:numPr>
          <w:ilvl w:val="0"/>
          <w:numId w:val="6"/>
        </w:numPr>
        <w:spacing w:before="100" w:beforeAutospacing="1" w:after="100" w:afterAutospacing="1"/>
        <w:rPr>
          <w:color w:val="161A23"/>
        </w:rPr>
      </w:pPr>
      <w:r>
        <w:rPr>
          <w:color w:val="161A23"/>
        </w:rPr>
        <w:t>Length of hearing;</w:t>
      </w:r>
    </w:p>
    <w:p w14:paraId="3AE2CF37" w14:textId="77777777" w:rsidR="00D54E82" w:rsidRDefault="00D54E82" w:rsidP="00D54E82">
      <w:pPr>
        <w:pStyle w:val="ListParagraph"/>
        <w:numPr>
          <w:ilvl w:val="0"/>
          <w:numId w:val="6"/>
        </w:numPr>
        <w:spacing w:before="100" w:beforeAutospacing="1" w:after="100" w:afterAutospacing="1"/>
        <w:rPr>
          <w:color w:val="161A23"/>
        </w:rPr>
      </w:pPr>
      <w:r>
        <w:rPr>
          <w:color w:val="161A23"/>
        </w:rPr>
        <w:t>Any expenses such as hotel or travel.</w:t>
      </w:r>
    </w:p>
    <w:p w14:paraId="2A343338" w14:textId="77777777" w:rsidR="00823BB5" w:rsidRDefault="00823BB5" w:rsidP="00E60900">
      <w:pPr>
        <w:spacing w:before="300" w:after="300"/>
        <w:rPr>
          <w:b/>
          <w:bCs/>
          <w:color w:val="48076B"/>
        </w:rPr>
      </w:pPr>
    </w:p>
    <w:p w14:paraId="2F9DB4B3" w14:textId="77777777" w:rsidR="008B0463" w:rsidRDefault="008B0463" w:rsidP="00E60900">
      <w:pPr>
        <w:spacing w:before="300" w:after="300"/>
        <w:rPr>
          <w:b/>
          <w:bCs/>
          <w:color w:val="48076B"/>
        </w:rPr>
      </w:pPr>
    </w:p>
    <w:p w14:paraId="502A0A32" w14:textId="77777777" w:rsidR="00B04E92" w:rsidRDefault="00E60900" w:rsidP="00E60900">
      <w:pPr>
        <w:spacing w:before="300" w:after="300"/>
        <w:rPr>
          <w:b/>
          <w:bCs/>
          <w:color w:val="48076B"/>
        </w:rPr>
      </w:pPr>
      <w:r>
        <w:rPr>
          <w:b/>
          <w:bCs/>
          <w:color w:val="48076B"/>
        </w:rPr>
        <w:lastRenderedPageBreak/>
        <w:t>Public Access</w:t>
      </w:r>
      <w:r w:rsidR="00D54E82">
        <w:rPr>
          <w:b/>
          <w:bCs/>
          <w:color w:val="48076B"/>
        </w:rPr>
        <w:t xml:space="preserve"> </w:t>
      </w:r>
    </w:p>
    <w:p w14:paraId="77D611D4" w14:textId="77777777" w:rsidR="00B04E92" w:rsidRDefault="00B04E92" w:rsidP="00E60900">
      <w:pPr>
        <w:spacing w:before="300" w:after="300"/>
      </w:pPr>
      <w:r>
        <w:t>Our barristers can advise you</w:t>
      </w:r>
      <w:r w:rsidR="009D7436">
        <w:t xml:space="preserve"> </w:t>
      </w:r>
      <w:r w:rsidR="009D7436">
        <w:rPr>
          <w:color w:val="000000" w:themeColor="text1"/>
        </w:rPr>
        <w:t>on any area of Law within Employment</w:t>
      </w:r>
      <w:r w:rsidR="009D7436">
        <w:t xml:space="preserve"> </w:t>
      </w:r>
      <w:r w:rsidR="009D7436" w:rsidRPr="009D7436">
        <w:t>With offices in Birmingham and Leeds, we have a dedicated, specialist employment clerking team that is justifiably proud to provide a client-focused and responsive service, with efficient management and clear channels of communication, the quality of which has been recognised by the legal community and directories. It remains our priority to provide a first class service which starts with building solid client relationships, by understanding their needs and aims.</w:t>
      </w:r>
    </w:p>
    <w:p w14:paraId="6A76E0E8" w14:textId="77777777" w:rsidR="00A9105F" w:rsidRDefault="00A9105F" w:rsidP="00A9105F">
      <w:pPr>
        <w:spacing w:before="300" w:after="300"/>
      </w:pPr>
      <w:r>
        <w:rPr>
          <w:b/>
          <w:bCs/>
          <w:color w:val="48076B"/>
        </w:rPr>
        <w:t>Fees</w:t>
      </w:r>
    </w:p>
    <w:p w14:paraId="6D9F1DE3" w14:textId="77777777" w:rsidR="00A9105F" w:rsidRDefault="00A9105F" w:rsidP="00E60900">
      <w:pPr>
        <w:spacing w:before="300" w:after="300"/>
      </w:pPr>
      <w:r>
        <w:t xml:space="preserve">We charge fixed fees, which means that we will charge you a set amount of money for the work. Below we provide </w:t>
      </w:r>
      <w:r w:rsidRPr="00A9105F">
        <w:rPr>
          <w:b/>
          <w:u w:val="single"/>
        </w:rPr>
        <w:t>estimates</w:t>
      </w:r>
      <w:r w:rsidR="00A25208">
        <w:rPr>
          <w:b/>
          <w:u w:val="single"/>
        </w:rPr>
        <w:t xml:space="preserve"> </w:t>
      </w:r>
      <w:r w:rsidR="00A25208">
        <w:t>based on the ranges of fixed fees for barristers in St Philips Chambers</w:t>
      </w:r>
      <w:r w:rsidR="00556B13">
        <w:t>.</w:t>
      </w:r>
    </w:p>
    <w:p w14:paraId="0C4A861A" w14:textId="77777777" w:rsidR="005F58B0" w:rsidRDefault="005F58B0" w:rsidP="005F58B0">
      <w:pPr>
        <w:spacing w:before="100" w:beforeAutospacing="1" w:after="100" w:afterAutospacing="1"/>
        <w:rPr>
          <w:color w:val="161A23"/>
        </w:rPr>
      </w:pPr>
      <w:r>
        <w:rPr>
          <w:color w:val="161A23"/>
        </w:rPr>
        <w:t>The level of fees will be based upon the following criteria:</w:t>
      </w:r>
    </w:p>
    <w:p w14:paraId="22075802" w14:textId="77777777" w:rsidR="005F58B0" w:rsidRDefault="005F58B0" w:rsidP="005F58B0">
      <w:pPr>
        <w:pStyle w:val="ListParagraph"/>
        <w:numPr>
          <w:ilvl w:val="0"/>
          <w:numId w:val="3"/>
        </w:numPr>
        <w:spacing w:before="100" w:beforeAutospacing="1" w:after="100" w:afterAutospacing="1"/>
        <w:rPr>
          <w:color w:val="161A23"/>
        </w:rPr>
      </w:pPr>
      <w:r>
        <w:rPr>
          <w:color w:val="161A23"/>
        </w:rPr>
        <w:t>Seniority/expertise of Counsel instructed;</w:t>
      </w:r>
    </w:p>
    <w:p w14:paraId="0EC7FFEC" w14:textId="77777777" w:rsidR="005F58B0" w:rsidRDefault="005F58B0" w:rsidP="005F58B0">
      <w:pPr>
        <w:pStyle w:val="ListParagraph"/>
        <w:numPr>
          <w:ilvl w:val="0"/>
          <w:numId w:val="3"/>
        </w:numPr>
        <w:spacing w:before="100" w:beforeAutospacing="1" w:after="100" w:afterAutospacing="1"/>
        <w:rPr>
          <w:color w:val="161A23"/>
        </w:rPr>
      </w:pPr>
      <w:r>
        <w:rPr>
          <w:color w:val="161A23"/>
        </w:rPr>
        <w:t>Complexity of the case;</w:t>
      </w:r>
    </w:p>
    <w:p w14:paraId="29B1C73E" w14:textId="77777777" w:rsidR="005F58B0" w:rsidRDefault="005F58B0" w:rsidP="005F58B0">
      <w:pPr>
        <w:pStyle w:val="ListParagraph"/>
        <w:numPr>
          <w:ilvl w:val="0"/>
          <w:numId w:val="3"/>
        </w:numPr>
        <w:spacing w:before="100" w:beforeAutospacing="1" w:after="100" w:afterAutospacing="1"/>
        <w:rPr>
          <w:color w:val="161A23"/>
        </w:rPr>
      </w:pPr>
      <w:r>
        <w:rPr>
          <w:color w:val="161A23"/>
        </w:rPr>
        <w:t>The seriousness of the allegations;</w:t>
      </w:r>
    </w:p>
    <w:p w14:paraId="24356C71" w14:textId="77777777" w:rsidR="005F58B0" w:rsidRDefault="005F58B0" w:rsidP="005F58B0">
      <w:pPr>
        <w:pStyle w:val="ListParagraph"/>
        <w:numPr>
          <w:ilvl w:val="0"/>
          <w:numId w:val="3"/>
        </w:numPr>
        <w:spacing w:before="100" w:beforeAutospacing="1" w:after="100" w:afterAutospacing="1"/>
        <w:rPr>
          <w:color w:val="161A23"/>
        </w:rPr>
      </w:pPr>
      <w:r>
        <w:rPr>
          <w:color w:val="161A23"/>
        </w:rPr>
        <w:t>Preparation time;</w:t>
      </w:r>
    </w:p>
    <w:p w14:paraId="308DF981" w14:textId="77777777" w:rsidR="005F58B0" w:rsidRDefault="005F58B0" w:rsidP="005F58B0">
      <w:pPr>
        <w:pStyle w:val="ListParagraph"/>
        <w:numPr>
          <w:ilvl w:val="0"/>
          <w:numId w:val="3"/>
        </w:numPr>
        <w:spacing w:before="100" w:beforeAutospacing="1" w:after="100" w:afterAutospacing="1"/>
        <w:rPr>
          <w:color w:val="161A23"/>
        </w:rPr>
      </w:pPr>
      <w:r>
        <w:rPr>
          <w:color w:val="161A23"/>
        </w:rPr>
        <w:t>Length of hearing;</w:t>
      </w:r>
    </w:p>
    <w:p w14:paraId="51A98428" w14:textId="77777777" w:rsidR="005F58B0" w:rsidRDefault="005F58B0" w:rsidP="005F58B0">
      <w:pPr>
        <w:pStyle w:val="ListParagraph"/>
        <w:numPr>
          <w:ilvl w:val="0"/>
          <w:numId w:val="3"/>
        </w:numPr>
        <w:spacing w:before="100" w:beforeAutospacing="1" w:after="100" w:afterAutospacing="1"/>
        <w:rPr>
          <w:color w:val="161A23"/>
        </w:rPr>
      </w:pPr>
      <w:r>
        <w:rPr>
          <w:color w:val="161A23"/>
        </w:rPr>
        <w:t>Any expenses such as hotel or travel.</w:t>
      </w:r>
    </w:p>
    <w:p w14:paraId="6F3FD882" w14:textId="77777777" w:rsidR="00E97966" w:rsidRDefault="00E97966" w:rsidP="00E97966">
      <w:pPr>
        <w:spacing w:before="100" w:beforeAutospacing="1" w:after="100" w:afterAutospacing="1"/>
        <w:rPr>
          <w:color w:val="7030A0"/>
        </w:rPr>
      </w:pPr>
      <w:r>
        <w:rPr>
          <w:color w:val="7030A0"/>
        </w:rPr>
        <w:t>Fees Incurred</w:t>
      </w:r>
    </w:p>
    <w:p w14:paraId="7F61D53B" w14:textId="77777777" w:rsidR="00E97966" w:rsidRDefault="00E97966" w:rsidP="00E97966">
      <w:pPr>
        <w:spacing w:before="100" w:beforeAutospacing="1" w:after="100" w:afterAutospacing="1"/>
        <w:rPr>
          <w:color w:val="000000" w:themeColor="text1"/>
        </w:rPr>
      </w:pPr>
      <w:r>
        <w:rPr>
          <w:color w:val="000000" w:themeColor="text1"/>
        </w:rPr>
        <w:t>Fees will be incurred on receipt of papers or when a specific date has been agreed by those instructing us, in general we would look to work to the below terms.</w:t>
      </w:r>
    </w:p>
    <w:p w14:paraId="673E28C0" w14:textId="77777777" w:rsidR="00E97966" w:rsidRDefault="00E97966" w:rsidP="00E97966">
      <w:pPr>
        <w:pStyle w:val="ListParagraph"/>
        <w:numPr>
          <w:ilvl w:val="0"/>
          <w:numId w:val="9"/>
        </w:numPr>
        <w:spacing w:before="100" w:beforeAutospacing="1" w:after="100" w:afterAutospacing="1"/>
        <w:rPr>
          <w:color w:val="000000" w:themeColor="text1"/>
        </w:rPr>
      </w:pPr>
      <w:r>
        <w:rPr>
          <w:color w:val="000000" w:themeColor="text1"/>
        </w:rPr>
        <w:t>1 Day Case the Brief fee will be incurred</w:t>
      </w:r>
      <w:r w:rsidR="00497397">
        <w:rPr>
          <w:color w:val="000000" w:themeColor="text1"/>
        </w:rPr>
        <w:t xml:space="preserve"> 2 days</w:t>
      </w:r>
      <w:r w:rsidR="002A2FA1">
        <w:rPr>
          <w:color w:val="000000" w:themeColor="text1"/>
        </w:rPr>
        <w:t xml:space="preserve"> before the hearing commences</w:t>
      </w:r>
    </w:p>
    <w:p w14:paraId="56AE3261" w14:textId="77777777" w:rsidR="002A2FA1" w:rsidRDefault="002A2FA1" w:rsidP="00E97966">
      <w:pPr>
        <w:pStyle w:val="ListParagraph"/>
        <w:numPr>
          <w:ilvl w:val="0"/>
          <w:numId w:val="9"/>
        </w:numPr>
        <w:spacing w:before="100" w:beforeAutospacing="1" w:after="100" w:afterAutospacing="1"/>
        <w:rPr>
          <w:color w:val="000000" w:themeColor="text1"/>
        </w:rPr>
      </w:pPr>
      <w:r>
        <w:rPr>
          <w:color w:val="000000" w:themeColor="text1"/>
        </w:rPr>
        <w:t>2 Day Case the Brief fee will be incurred</w:t>
      </w:r>
      <w:r w:rsidR="00497397">
        <w:rPr>
          <w:color w:val="000000" w:themeColor="text1"/>
        </w:rPr>
        <w:t xml:space="preserve"> 3 days</w:t>
      </w:r>
      <w:r>
        <w:rPr>
          <w:color w:val="000000" w:themeColor="text1"/>
        </w:rPr>
        <w:t xml:space="preserve"> before the hearing commences</w:t>
      </w:r>
    </w:p>
    <w:p w14:paraId="73CF8AE7" w14:textId="77777777" w:rsidR="002A2FA1" w:rsidRDefault="002A2FA1" w:rsidP="00E97966">
      <w:pPr>
        <w:pStyle w:val="ListParagraph"/>
        <w:numPr>
          <w:ilvl w:val="0"/>
          <w:numId w:val="9"/>
        </w:numPr>
        <w:spacing w:before="100" w:beforeAutospacing="1" w:after="100" w:afterAutospacing="1"/>
        <w:rPr>
          <w:color w:val="000000" w:themeColor="text1"/>
        </w:rPr>
      </w:pPr>
      <w:r>
        <w:rPr>
          <w:color w:val="000000" w:themeColor="text1"/>
        </w:rPr>
        <w:t>3 Day Case the Brief fee will be incurred</w:t>
      </w:r>
      <w:r w:rsidR="00497397">
        <w:rPr>
          <w:color w:val="000000" w:themeColor="text1"/>
        </w:rPr>
        <w:t xml:space="preserve"> 4 days</w:t>
      </w:r>
      <w:r>
        <w:rPr>
          <w:color w:val="000000" w:themeColor="text1"/>
        </w:rPr>
        <w:t xml:space="preserve"> before the hearing commences</w:t>
      </w:r>
    </w:p>
    <w:p w14:paraId="7C10ADAF" w14:textId="77777777" w:rsidR="002A2FA1" w:rsidRPr="002A2FA1" w:rsidRDefault="002A2FA1" w:rsidP="002A2FA1">
      <w:pPr>
        <w:spacing w:before="100" w:beforeAutospacing="1" w:after="100" w:afterAutospacing="1"/>
        <w:rPr>
          <w:color w:val="000000" w:themeColor="text1"/>
        </w:rPr>
      </w:pPr>
      <w:r>
        <w:rPr>
          <w:color w:val="000000" w:themeColor="text1"/>
        </w:rPr>
        <w:t xml:space="preserve">Any cases that are longer than 3 days the Brief fee incurred date will be agreed with those </w:t>
      </w:r>
      <w:r w:rsidR="00497397">
        <w:rPr>
          <w:color w:val="000000" w:themeColor="text1"/>
        </w:rPr>
        <w:t>instructing us at the time of booking</w:t>
      </w:r>
    </w:p>
    <w:tbl>
      <w:tblPr>
        <w:tblStyle w:val="TableGrid"/>
        <w:tblpPr w:leftFromText="180" w:rightFromText="180" w:vertAnchor="text" w:horzAnchor="margin" w:tblpY="119"/>
        <w:tblW w:w="0" w:type="auto"/>
        <w:tblLook w:val="04A0" w:firstRow="1" w:lastRow="0" w:firstColumn="1" w:lastColumn="0" w:noHBand="0" w:noVBand="1"/>
      </w:tblPr>
      <w:tblGrid>
        <w:gridCol w:w="4514"/>
        <w:gridCol w:w="4502"/>
      </w:tblGrid>
      <w:tr w:rsidR="005F58B0" w14:paraId="691A6C16" w14:textId="77777777" w:rsidTr="005F58B0">
        <w:tc>
          <w:tcPr>
            <w:tcW w:w="4621" w:type="dxa"/>
          </w:tcPr>
          <w:p w14:paraId="26E416D3" w14:textId="77777777" w:rsidR="005F58B0" w:rsidRPr="009A231A" w:rsidRDefault="005F58B0" w:rsidP="005F58B0">
            <w:pPr>
              <w:jc w:val="center"/>
              <w:rPr>
                <w:b/>
              </w:rPr>
            </w:pPr>
            <w:r w:rsidRPr="009A231A">
              <w:rPr>
                <w:b/>
              </w:rPr>
              <w:t>Stage of Case</w:t>
            </w:r>
          </w:p>
        </w:tc>
        <w:tc>
          <w:tcPr>
            <w:tcW w:w="4621" w:type="dxa"/>
          </w:tcPr>
          <w:p w14:paraId="174C670F" w14:textId="77777777" w:rsidR="005F58B0" w:rsidRPr="009A231A" w:rsidRDefault="005F58B0" w:rsidP="005F58B0">
            <w:pPr>
              <w:jc w:val="center"/>
              <w:rPr>
                <w:b/>
              </w:rPr>
            </w:pPr>
            <w:r w:rsidRPr="009A231A">
              <w:rPr>
                <w:b/>
              </w:rPr>
              <w:t xml:space="preserve">Ranges of </w:t>
            </w:r>
            <w:r>
              <w:rPr>
                <w:b/>
              </w:rPr>
              <w:t xml:space="preserve">fixed </w:t>
            </w:r>
            <w:r w:rsidRPr="009A231A">
              <w:rPr>
                <w:b/>
              </w:rPr>
              <w:t>fees (estimates)</w:t>
            </w:r>
          </w:p>
        </w:tc>
      </w:tr>
      <w:tr w:rsidR="005F58B0" w14:paraId="72C06F8D" w14:textId="77777777" w:rsidTr="005F58B0">
        <w:tc>
          <w:tcPr>
            <w:tcW w:w="4621" w:type="dxa"/>
          </w:tcPr>
          <w:p w14:paraId="35B16654" w14:textId="77777777" w:rsidR="005F58B0" w:rsidRDefault="005F58B0" w:rsidP="005F58B0">
            <w:pPr>
              <w:jc w:val="center"/>
            </w:pPr>
            <w:r>
              <w:t>Initial advice/drafting</w:t>
            </w:r>
          </w:p>
        </w:tc>
        <w:tc>
          <w:tcPr>
            <w:tcW w:w="4621" w:type="dxa"/>
          </w:tcPr>
          <w:p w14:paraId="71AF724A" w14:textId="77777777" w:rsidR="005F58B0" w:rsidRDefault="00556B13" w:rsidP="005F58B0">
            <w:pPr>
              <w:jc w:val="center"/>
            </w:pPr>
            <w:r>
              <w:t>£500</w:t>
            </w:r>
            <w:r w:rsidR="005F58B0">
              <w:t xml:space="preserve"> + VAT - £1500 + VAT</w:t>
            </w:r>
          </w:p>
        </w:tc>
      </w:tr>
      <w:tr w:rsidR="005F58B0" w14:paraId="5072EB58" w14:textId="77777777" w:rsidTr="005F58B0">
        <w:tc>
          <w:tcPr>
            <w:tcW w:w="4621" w:type="dxa"/>
          </w:tcPr>
          <w:p w14:paraId="5B845900" w14:textId="77777777" w:rsidR="005F58B0" w:rsidRDefault="005F58B0" w:rsidP="005F58B0">
            <w:pPr>
              <w:jc w:val="center"/>
            </w:pPr>
            <w:r>
              <w:t>Conference</w:t>
            </w:r>
          </w:p>
        </w:tc>
        <w:tc>
          <w:tcPr>
            <w:tcW w:w="4621" w:type="dxa"/>
          </w:tcPr>
          <w:p w14:paraId="7F573AAD" w14:textId="77777777" w:rsidR="005F58B0" w:rsidRDefault="00556B13" w:rsidP="005F58B0">
            <w:pPr>
              <w:jc w:val="center"/>
            </w:pPr>
            <w:r>
              <w:t>£500</w:t>
            </w:r>
            <w:r w:rsidR="005F58B0">
              <w:t xml:space="preserve"> + VAT - £1500 + VAT</w:t>
            </w:r>
          </w:p>
        </w:tc>
      </w:tr>
      <w:tr w:rsidR="005F58B0" w14:paraId="2FFEF987" w14:textId="77777777" w:rsidTr="005F58B0">
        <w:tc>
          <w:tcPr>
            <w:tcW w:w="4621" w:type="dxa"/>
          </w:tcPr>
          <w:p w14:paraId="63BB6968" w14:textId="77777777" w:rsidR="005F58B0" w:rsidRDefault="00170204" w:rsidP="005F58B0">
            <w:pPr>
              <w:jc w:val="center"/>
            </w:pPr>
            <w:r>
              <w:t>Preliminary Hearing</w:t>
            </w:r>
          </w:p>
        </w:tc>
        <w:tc>
          <w:tcPr>
            <w:tcW w:w="4621" w:type="dxa"/>
          </w:tcPr>
          <w:p w14:paraId="27C79DD7" w14:textId="77777777" w:rsidR="005F58B0" w:rsidRDefault="005F58B0" w:rsidP="005F58B0">
            <w:pPr>
              <w:jc w:val="center"/>
            </w:pPr>
            <w:r>
              <w:t>£750 + VAT - £2500 + VAT</w:t>
            </w:r>
          </w:p>
        </w:tc>
      </w:tr>
      <w:tr w:rsidR="005F58B0" w14:paraId="61B817E4" w14:textId="77777777" w:rsidTr="005F58B0">
        <w:tc>
          <w:tcPr>
            <w:tcW w:w="4621" w:type="dxa"/>
          </w:tcPr>
          <w:p w14:paraId="63B78143" w14:textId="77777777" w:rsidR="005F58B0" w:rsidRDefault="00170204" w:rsidP="005F58B0">
            <w:pPr>
              <w:jc w:val="center"/>
            </w:pPr>
            <w:r>
              <w:t>Mediation</w:t>
            </w:r>
          </w:p>
        </w:tc>
        <w:tc>
          <w:tcPr>
            <w:tcW w:w="4621" w:type="dxa"/>
          </w:tcPr>
          <w:p w14:paraId="11E6E3A6" w14:textId="77777777" w:rsidR="005F58B0" w:rsidRDefault="00170204" w:rsidP="005F58B0">
            <w:pPr>
              <w:jc w:val="center"/>
            </w:pPr>
            <w:r>
              <w:t>£1500</w:t>
            </w:r>
            <w:r w:rsidR="005F58B0">
              <w:t xml:space="preserve"> + VAT - £5000 + VAT</w:t>
            </w:r>
          </w:p>
        </w:tc>
      </w:tr>
      <w:tr w:rsidR="005F58B0" w14:paraId="0B3484FE" w14:textId="77777777" w:rsidTr="005F58B0">
        <w:tc>
          <w:tcPr>
            <w:tcW w:w="4621" w:type="dxa"/>
          </w:tcPr>
          <w:p w14:paraId="6E7975B2" w14:textId="77777777" w:rsidR="005F58B0" w:rsidRDefault="005F58B0" w:rsidP="005F58B0">
            <w:pPr>
              <w:jc w:val="center"/>
            </w:pPr>
            <w:r>
              <w:t>Final Hearing Day 1 (including preparation)</w:t>
            </w:r>
          </w:p>
        </w:tc>
        <w:tc>
          <w:tcPr>
            <w:tcW w:w="4621" w:type="dxa"/>
          </w:tcPr>
          <w:p w14:paraId="44A50EC5" w14:textId="77777777" w:rsidR="005F58B0" w:rsidRDefault="00170204" w:rsidP="005F58B0">
            <w:pPr>
              <w:jc w:val="center"/>
            </w:pPr>
            <w:r>
              <w:t>£1500 + VAT - £5000</w:t>
            </w:r>
            <w:r w:rsidR="005F58B0">
              <w:t xml:space="preserve"> + VAT</w:t>
            </w:r>
          </w:p>
        </w:tc>
      </w:tr>
      <w:tr w:rsidR="005F58B0" w14:paraId="5CA5F0E1" w14:textId="77777777" w:rsidTr="005F58B0">
        <w:tc>
          <w:tcPr>
            <w:tcW w:w="4621" w:type="dxa"/>
          </w:tcPr>
          <w:p w14:paraId="78DECD8D" w14:textId="77777777" w:rsidR="005F58B0" w:rsidRDefault="005F58B0" w:rsidP="005F58B0">
            <w:pPr>
              <w:jc w:val="center"/>
            </w:pPr>
            <w:r>
              <w:t>Court appearances per day, after the first day of the final hearing</w:t>
            </w:r>
          </w:p>
        </w:tc>
        <w:tc>
          <w:tcPr>
            <w:tcW w:w="4621" w:type="dxa"/>
          </w:tcPr>
          <w:p w14:paraId="16808CCA" w14:textId="77777777" w:rsidR="005F58B0" w:rsidRDefault="005F58B0" w:rsidP="005F58B0">
            <w:pPr>
              <w:jc w:val="center"/>
            </w:pPr>
            <w:r>
              <w:t>£1000 + VAT - £3500 + VAT</w:t>
            </w:r>
          </w:p>
        </w:tc>
      </w:tr>
      <w:tr w:rsidR="005F58B0" w14:paraId="46876FBB" w14:textId="77777777" w:rsidTr="005F58B0">
        <w:tc>
          <w:tcPr>
            <w:tcW w:w="4621" w:type="dxa"/>
          </w:tcPr>
          <w:p w14:paraId="6516DD39" w14:textId="77777777" w:rsidR="005F58B0" w:rsidRDefault="005F58B0" w:rsidP="005F58B0">
            <w:pPr>
              <w:jc w:val="center"/>
            </w:pPr>
            <w:r>
              <w:t>Hourly Rate for additional</w:t>
            </w:r>
            <w:r w:rsidR="00CA5DED">
              <w:t>,</w:t>
            </w:r>
            <w:r>
              <w:t xml:space="preserve"> none advocacy work</w:t>
            </w:r>
          </w:p>
        </w:tc>
        <w:tc>
          <w:tcPr>
            <w:tcW w:w="4621" w:type="dxa"/>
          </w:tcPr>
          <w:p w14:paraId="3931CCB8" w14:textId="77777777" w:rsidR="005F58B0" w:rsidRDefault="005F58B0" w:rsidP="005F58B0">
            <w:pPr>
              <w:jc w:val="center"/>
            </w:pPr>
            <w:r>
              <w:t>£150 + VAT - £300 + VAT</w:t>
            </w:r>
          </w:p>
        </w:tc>
      </w:tr>
    </w:tbl>
    <w:p w14:paraId="54D63E50" w14:textId="77777777" w:rsidR="00C87B9C" w:rsidRDefault="00626021" w:rsidP="00F85F55">
      <w:pPr>
        <w:spacing w:before="300" w:after="300"/>
      </w:pPr>
      <w:r>
        <w:t xml:space="preserve">All information is correct as of 10/01/2020, but fees are </w:t>
      </w:r>
      <w:r w:rsidRPr="00626021">
        <w:rPr>
          <w:b/>
          <w:u w:val="single"/>
        </w:rPr>
        <w:t>estimates only</w:t>
      </w:r>
      <w:r w:rsidRPr="00626021">
        <w:t xml:space="preserve">. </w:t>
      </w:r>
      <w:r>
        <w:t>For a quotation, please contact the clerks on 0121 246 7000 or email on</w:t>
      </w:r>
      <w:r w:rsidR="00170204">
        <w:t xml:space="preserve">e </w:t>
      </w:r>
      <w:hyperlink r:id="rId5" w:history="1">
        <w:r w:rsidR="00755623" w:rsidRPr="002640F2">
          <w:rPr>
            <w:rStyle w:val="Hyperlink"/>
          </w:rPr>
          <w:t>employment@st-philips.com</w:t>
        </w:r>
      </w:hyperlink>
      <w:r w:rsidR="00170204">
        <w:t xml:space="preserve"> </w:t>
      </w:r>
      <w:r>
        <w:t xml:space="preserve">. </w:t>
      </w:r>
    </w:p>
    <w:sectPr w:rsidR="00C87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A45"/>
    <w:multiLevelType w:val="hybridMultilevel"/>
    <w:tmpl w:val="37B2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4891"/>
    <w:multiLevelType w:val="hybridMultilevel"/>
    <w:tmpl w:val="31AE44E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2D3001B"/>
    <w:multiLevelType w:val="hybridMultilevel"/>
    <w:tmpl w:val="76C4BF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62B1913"/>
    <w:multiLevelType w:val="hybridMultilevel"/>
    <w:tmpl w:val="5F34A6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8EC0CC9"/>
    <w:multiLevelType w:val="hybridMultilevel"/>
    <w:tmpl w:val="924295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FC30010"/>
    <w:multiLevelType w:val="hybridMultilevel"/>
    <w:tmpl w:val="43E0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456B9"/>
    <w:multiLevelType w:val="hybridMultilevel"/>
    <w:tmpl w:val="5CFE11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370B78"/>
    <w:multiLevelType w:val="hybridMultilevel"/>
    <w:tmpl w:val="76C4BF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03961748">
    <w:abstractNumId w:val="4"/>
  </w:num>
  <w:num w:numId="2" w16cid:durableId="332102899">
    <w:abstractNumId w:val="4"/>
  </w:num>
  <w:num w:numId="3" w16cid:durableId="618805368">
    <w:abstractNumId w:val="7"/>
  </w:num>
  <w:num w:numId="4" w16cid:durableId="1746802997">
    <w:abstractNumId w:val="2"/>
  </w:num>
  <w:num w:numId="5" w16cid:durableId="416101503">
    <w:abstractNumId w:val="0"/>
  </w:num>
  <w:num w:numId="6" w16cid:durableId="1640721703">
    <w:abstractNumId w:val="1"/>
  </w:num>
  <w:num w:numId="7" w16cid:durableId="1889412568">
    <w:abstractNumId w:val="3"/>
  </w:num>
  <w:num w:numId="8" w16cid:durableId="1801799436">
    <w:abstractNumId w:val="6"/>
  </w:num>
  <w:num w:numId="9" w16cid:durableId="53895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1A"/>
    <w:rsid w:val="00162FB2"/>
    <w:rsid w:val="00170204"/>
    <w:rsid w:val="001769B4"/>
    <w:rsid w:val="002A2FA1"/>
    <w:rsid w:val="00384FFC"/>
    <w:rsid w:val="0042747F"/>
    <w:rsid w:val="00497397"/>
    <w:rsid w:val="005217B2"/>
    <w:rsid w:val="00526D5C"/>
    <w:rsid w:val="005422EC"/>
    <w:rsid w:val="00556B13"/>
    <w:rsid w:val="005F58B0"/>
    <w:rsid w:val="00626021"/>
    <w:rsid w:val="00626C9A"/>
    <w:rsid w:val="00755623"/>
    <w:rsid w:val="00823BB5"/>
    <w:rsid w:val="008B0463"/>
    <w:rsid w:val="008B1C26"/>
    <w:rsid w:val="008F068D"/>
    <w:rsid w:val="0094490E"/>
    <w:rsid w:val="009A231A"/>
    <w:rsid w:val="009D7436"/>
    <w:rsid w:val="00A25208"/>
    <w:rsid w:val="00A9105F"/>
    <w:rsid w:val="00A96F9E"/>
    <w:rsid w:val="00B04E92"/>
    <w:rsid w:val="00C165F1"/>
    <w:rsid w:val="00C87B9C"/>
    <w:rsid w:val="00CA5DED"/>
    <w:rsid w:val="00CC455C"/>
    <w:rsid w:val="00D21F99"/>
    <w:rsid w:val="00D54E82"/>
    <w:rsid w:val="00E60900"/>
    <w:rsid w:val="00E97966"/>
    <w:rsid w:val="00F85F55"/>
    <w:rsid w:val="00FA42B6"/>
    <w:rsid w:val="00FF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4B80"/>
  <w15:chartTrackingRefBased/>
  <w15:docId w15:val="{BC912019-0FE6-4A2D-A7D9-33C1DF6E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900"/>
    <w:pPr>
      <w:spacing w:after="0" w:line="240" w:lineRule="auto"/>
      <w:ind w:left="720"/>
    </w:pPr>
    <w:rPr>
      <w:rFonts w:ascii="Calibri" w:hAnsi="Calibri" w:cs="Calibri"/>
    </w:rPr>
  </w:style>
  <w:style w:type="character" w:styleId="Hyperlink">
    <w:name w:val="Hyperlink"/>
    <w:basedOn w:val="DefaultParagraphFont"/>
    <w:uiPriority w:val="99"/>
    <w:unhideWhenUsed/>
    <w:rsid w:val="00626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st-phili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Burgess</dc:creator>
  <cp:keywords/>
  <dc:description/>
  <cp:lastModifiedBy>Guy Dunwoody</cp:lastModifiedBy>
  <cp:revision>2</cp:revision>
  <dcterms:created xsi:type="dcterms:W3CDTF">2022-08-09T11:44:00Z</dcterms:created>
  <dcterms:modified xsi:type="dcterms:W3CDTF">2022-08-09T11:44:00Z</dcterms:modified>
</cp:coreProperties>
</file>