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DCC2" w14:textId="77777777" w:rsidR="00E60900" w:rsidRPr="003536BA" w:rsidRDefault="00286036" w:rsidP="00E60900">
      <w:pPr>
        <w:spacing w:before="300" w:after="300"/>
        <w:rPr>
          <w:b/>
          <w:bCs/>
          <w:color w:val="48076B"/>
          <w:sz w:val="28"/>
          <w:szCs w:val="28"/>
        </w:rPr>
      </w:pPr>
      <w:r w:rsidRPr="003536BA">
        <w:rPr>
          <w:b/>
          <w:bCs/>
          <w:color w:val="48076B"/>
          <w:sz w:val="28"/>
          <w:szCs w:val="28"/>
        </w:rPr>
        <w:t xml:space="preserve">Level of Fees in Regulatory </w:t>
      </w:r>
      <w:r w:rsidR="00E60900" w:rsidRPr="003536BA">
        <w:rPr>
          <w:b/>
          <w:bCs/>
          <w:color w:val="48076B"/>
          <w:sz w:val="28"/>
          <w:szCs w:val="28"/>
        </w:rPr>
        <w:t>Cases</w:t>
      </w:r>
    </w:p>
    <w:p w14:paraId="5880CB47" w14:textId="77777777" w:rsidR="00E60900" w:rsidRDefault="00E60900" w:rsidP="00E60900">
      <w:pPr>
        <w:spacing w:before="300" w:after="300"/>
      </w:pPr>
      <w:r>
        <w:rPr>
          <w:b/>
          <w:bCs/>
          <w:color w:val="48076B"/>
        </w:rPr>
        <w:t>Publicly funded work</w:t>
      </w:r>
    </w:p>
    <w:p w14:paraId="60034399" w14:textId="77777777" w:rsidR="00E60900" w:rsidRDefault="00E60900" w:rsidP="00E60900">
      <w:pPr>
        <w:spacing w:before="100" w:beforeAutospacing="1" w:after="100" w:afterAutospacing="1" w:line="450" w:lineRule="atLeast"/>
        <w:rPr>
          <w:bCs/>
          <w:color w:val="161A23"/>
        </w:rPr>
      </w:pPr>
      <w:r>
        <w:rPr>
          <w:bCs/>
          <w:color w:val="161A23"/>
        </w:rPr>
        <w:t xml:space="preserve">Fees charged for hearings, conferences and paperwork in </w:t>
      </w:r>
      <w:r w:rsidR="00286036">
        <w:rPr>
          <w:bCs/>
          <w:color w:val="161A23"/>
        </w:rPr>
        <w:t>matters w</w:t>
      </w:r>
      <w:r w:rsidR="001D5BFE">
        <w:rPr>
          <w:bCs/>
          <w:color w:val="161A23"/>
        </w:rPr>
        <w:t xml:space="preserve">here we receive instructions as </w:t>
      </w:r>
      <w:r w:rsidR="001101BC" w:rsidRPr="009D1EC0">
        <w:rPr>
          <w:bCs/>
          <w:i/>
          <w:color w:val="161A23"/>
        </w:rPr>
        <w:t>Attorney General’s civil panel counsel</w:t>
      </w:r>
      <w:r w:rsidR="001101BC">
        <w:rPr>
          <w:bCs/>
          <w:color w:val="161A23"/>
        </w:rPr>
        <w:t xml:space="preserve"> or</w:t>
      </w:r>
      <w:r w:rsidR="009D1EC0">
        <w:rPr>
          <w:bCs/>
          <w:color w:val="161A23"/>
        </w:rPr>
        <w:t xml:space="preserve"> for organisations instructing from the </w:t>
      </w:r>
      <w:r w:rsidR="009D1EC0" w:rsidRPr="009D1EC0">
        <w:rPr>
          <w:bCs/>
          <w:i/>
          <w:color w:val="161A23"/>
        </w:rPr>
        <w:t>List of Specialist Regulatory Advocates instructed by the Health and Safety Executive, the Environment Agency, Natural Resources Wales, the Office of Rail and Road, the Care Quality Commission and the</w:t>
      </w:r>
      <w:r w:rsidR="009D1EC0">
        <w:rPr>
          <w:bCs/>
          <w:i/>
          <w:color w:val="161A23"/>
        </w:rPr>
        <w:t xml:space="preserve"> Office for Nuclear Regulation</w:t>
      </w:r>
      <w:r w:rsidR="009D1EC0">
        <w:rPr>
          <w:bCs/>
          <w:color w:val="161A23"/>
        </w:rPr>
        <w:t xml:space="preserve">, will be calculated by the number of hours engaged at the relevant rate specified by the instructing organisation in accordance with counsel’s </w:t>
      </w:r>
      <w:r w:rsidR="00DE056E">
        <w:rPr>
          <w:bCs/>
          <w:color w:val="161A23"/>
        </w:rPr>
        <w:t>standing on the particular panel (i.e. A List, B List, C List).</w:t>
      </w:r>
    </w:p>
    <w:p w14:paraId="7845387E" w14:textId="77777777" w:rsidR="00F655D4" w:rsidRPr="005E494E" w:rsidRDefault="00F655D4" w:rsidP="00E60900">
      <w:pPr>
        <w:spacing w:before="100" w:beforeAutospacing="1" w:after="100" w:afterAutospacing="1" w:line="450" w:lineRule="atLeast"/>
      </w:pPr>
      <w:r>
        <w:rPr>
          <w:bCs/>
          <w:color w:val="161A23"/>
        </w:rPr>
        <w:t xml:space="preserve">Fees </w:t>
      </w:r>
      <w:r w:rsidR="005E494E">
        <w:rPr>
          <w:bCs/>
          <w:color w:val="161A23"/>
        </w:rPr>
        <w:t xml:space="preserve">to be </w:t>
      </w:r>
      <w:r>
        <w:rPr>
          <w:bCs/>
          <w:color w:val="161A23"/>
        </w:rPr>
        <w:t xml:space="preserve">charged </w:t>
      </w:r>
      <w:r w:rsidR="00F267DD">
        <w:rPr>
          <w:bCs/>
          <w:color w:val="161A23"/>
        </w:rPr>
        <w:t>for hearings, conferences and paperwork</w:t>
      </w:r>
      <w:r w:rsidR="005E494E">
        <w:rPr>
          <w:bCs/>
          <w:color w:val="161A23"/>
        </w:rPr>
        <w:t xml:space="preserve"> </w:t>
      </w:r>
      <w:r w:rsidR="00F267DD">
        <w:rPr>
          <w:bCs/>
          <w:color w:val="161A23"/>
        </w:rPr>
        <w:t>in matters where we receive instructions from publicly funded bodies</w:t>
      </w:r>
      <w:r w:rsidR="005E494E">
        <w:rPr>
          <w:bCs/>
          <w:color w:val="161A23"/>
        </w:rPr>
        <w:t xml:space="preserve"> other than those that are requir</w:t>
      </w:r>
      <w:r w:rsidR="00F267DD">
        <w:rPr>
          <w:bCs/>
          <w:color w:val="161A23"/>
        </w:rPr>
        <w:t xml:space="preserve">ed to instruct </w:t>
      </w:r>
      <w:r w:rsidR="005E494E">
        <w:rPr>
          <w:bCs/>
          <w:color w:val="161A23"/>
        </w:rPr>
        <w:t xml:space="preserve">from the panels outlined above will be, wherever possible, agreed with you after delivery of brief and prior to the hearing and/or work being undertaken.  </w:t>
      </w:r>
      <w:r w:rsidR="00065B70">
        <w:rPr>
          <w:bCs/>
          <w:color w:val="161A23"/>
        </w:rPr>
        <w:t>The most commo</w:t>
      </w:r>
      <w:r w:rsidR="00E25A46">
        <w:rPr>
          <w:bCs/>
          <w:color w:val="161A23"/>
        </w:rPr>
        <w:t>nly used pricing models used are</w:t>
      </w:r>
      <w:r w:rsidR="00417DCD">
        <w:rPr>
          <w:bCs/>
          <w:color w:val="161A23"/>
        </w:rPr>
        <w:t xml:space="preserve"> hourly rate, </w:t>
      </w:r>
      <w:r w:rsidR="00065B70" w:rsidRPr="00065B70">
        <w:rPr>
          <w:bCs/>
          <w:color w:val="161A23"/>
        </w:rPr>
        <w:t>fixed fee or an agreed brief fee and refreshers</w:t>
      </w:r>
      <w:r w:rsidR="00065B70">
        <w:rPr>
          <w:bCs/>
          <w:color w:val="161A23"/>
        </w:rPr>
        <w:t>, or a combination of the models depending upon the nature of the instruction.  Factors typically taken into consideration in providing fee quotations/indications will include:</w:t>
      </w:r>
    </w:p>
    <w:p w14:paraId="129539E7" w14:textId="77777777"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Seniority/expertise of Counsel instructed;</w:t>
      </w:r>
    </w:p>
    <w:p w14:paraId="01DB1DC7" w14:textId="77777777"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Complexity of the case;</w:t>
      </w:r>
    </w:p>
    <w:p w14:paraId="4E11FA03" w14:textId="77777777"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The seriousness of the allegations;</w:t>
      </w:r>
    </w:p>
    <w:p w14:paraId="22B13111" w14:textId="77777777"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Preparation time;</w:t>
      </w:r>
    </w:p>
    <w:p w14:paraId="02B419D8" w14:textId="77777777"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Length of hearing;</w:t>
      </w:r>
    </w:p>
    <w:p w14:paraId="52501D94" w14:textId="77777777"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Any expenses such as hotel or travel.</w:t>
      </w:r>
    </w:p>
    <w:p w14:paraId="668B93C0" w14:textId="77777777" w:rsidR="0007127F" w:rsidRDefault="0007127F" w:rsidP="0007127F">
      <w:pPr>
        <w:spacing w:before="300" w:after="300"/>
        <w:rPr>
          <w:b/>
          <w:bCs/>
          <w:color w:val="48076B"/>
        </w:rPr>
      </w:pPr>
    </w:p>
    <w:p w14:paraId="13B02D8E" w14:textId="77777777" w:rsidR="0007127F" w:rsidRDefault="0007127F" w:rsidP="0007127F">
      <w:pPr>
        <w:spacing w:before="300" w:after="300"/>
      </w:pPr>
      <w:r>
        <w:rPr>
          <w:b/>
          <w:bCs/>
          <w:color w:val="48076B"/>
        </w:rPr>
        <w:t>Privately funded work</w:t>
      </w:r>
    </w:p>
    <w:p w14:paraId="68D05D47" w14:textId="77777777" w:rsidR="0007127F" w:rsidRDefault="0007127F" w:rsidP="0007127F">
      <w:pPr>
        <w:spacing w:before="100" w:beforeAutospacing="1" w:after="100" w:afterAutospacing="1" w:line="450" w:lineRule="atLeast"/>
        <w:rPr>
          <w:bCs/>
          <w:color w:val="161A23"/>
        </w:rPr>
      </w:pPr>
      <w:r w:rsidRPr="0007127F">
        <w:rPr>
          <w:bCs/>
          <w:color w:val="161A23"/>
        </w:rPr>
        <w:t>Fees to be charged for hearings, conferences and paperwork in matters where we receive instruct</w:t>
      </w:r>
      <w:r>
        <w:rPr>
          <w:bCs/>
          <w:color w:val="161A23"/>
        </w:rPr>
        <w:t xml:space="preserve">ions </w:t>
      </w:r>
      <w:r w:rsidR="00FE63F5">
        <w:rPr>
          <w:bCs/>
          <w:color w:val="161A23"/>
        </w:rPr>
        <w:t>that are privately funded will</w:t>
      </w:r>
      <w:r w:rsidRPr="0007127F">
        <w:rPr>
          <w:bCs/>
          <w:color w:val="161A23"/>
        </w:rPr>
        <w:t xml:space="preserve"> be, wherever possible, agreed with you after delivery of brief and prior to the hearing and/or work being undertaken.  The most commonly used pricing mode</w:t>
      </w:r>
      <w:r w:rsidR="00417DCD">
        <w:rPr>
          <w:bCs/>
          <w:color w:val="161A23"/>
        </w:rPr>
        <w:t xml:space="preserve">ls will be by an hourly rate, </w:t>
      </w:r>
      <w:r w:rsidRPr="0007127F">
        <w:rPr>
          <w:bCs/>
          <w:color w:val="161A23"/>
        </w:rPr>
        <w:t xml:space="preserve">fixed fee or an agreed brief fee and refreshers, or a combination of </w:t>
      </w:r>
      <w:r w:rsidRPr="0007127F">
        <w:rPr>
          <w:bCs/>
          <w:color w:val="161A23"/>
        </w:rPr>
        <w:lastRenderedPageBreak/>
        <w:t>the models depending upon the nature of the instruction.  Factors typically taken into consideration in providing fee quotations/indications will include:</w:t>
      </w:r>
    </w:p>
    <w:p w14:paraId="1C974B94" w14:textId="77777777" w:rsidR="0007127F" w:rsidRDefault="0007127F" w:rsidP="0007127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Seniority/expertise of Counsel instructed;</w:t>
      </w:r>
    </w:p>
    <w:p w14:paraId="733B3DFC" w14:textId="77777777" w:rsidR="0062588C" w:rsidRDefault="0007127F" w:rsidP="0062588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Complexity of the case;</w:t>
      </w:r>
    </w:p>
    <w:p w14:paraId="42C5E8DA" w14:textId="77777777" w:rsidR="0007127F" w:rsidRPr="0062588C" w:rsidRDefault="0007127F" w:rsidP="0062588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The seriousness of the allegations;</w:t>
      </w:r>
    </w:p>
    <w:p w14:paraId="3D82DA39" w14:textId="77777777" w:rsidR="0007127F" w:rsidRDefault="0007127F" w:rsidP="0007127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Preparation time;</w:t>
      </w:r>
    </w:p>
    <w:p w14:paraId="5FFA8D2E" w14:textId="77777777" w:rsidR="0007127F" w:rsidRDefault="0007127F" w:rsidP="0007127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Length of hearing;</w:t>
      </w:r>
    </w:p>
    <w:p w14:paraId="2A06FAB3" w14:textId="77777777" w:rsidR="0007127F" w:rsidRDefault="0007127F" w:rsidP="0007127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Any expenses such as hotel or travel.</w:t>
      </w:r>
    </w:p>
    <w:p w14:paraId="68CC6876" w14:textId="77777777" w:rsidR="00B70BE9" w:rsidRDefault="00B70BE9" w:rsidP="00E60900">
      <w:pPr>
        <w:spacing w:before="300" w:after="300"/>
        <w:rPr>
          <w:bCs/>
          <w:color w:val="161A23"/>
        </w:rPr>
      </w:pPr>
    </w:p>
    <w:p w14:paraId="04D062FE" w14:textId="77777777" w:rsidR="00B04E92" w:rsidRDefault="00E60900" w:rsidP="00E60900">
      <w:pPr>
        <w:spacing w:before="300" w:after="300"/>
        <w:rPr>
          <w:b/>
          <w:bCs/>
          <w:color w:val="48076B"/>
        </w:rPr>
      </w:pPr>
      <w:r>
        <w:rPr>
          <w:b/>
          <w:bCs/>
          <w:color w:val="48076B"/>
        </w:rPr>
        <w:t>Public Access</w:t>
      </w:r>
      <w:r w:rsidR="00B70BE9">
        <w:rPr>
          <w:b/>
          <w:bCs/>
          <w:color w:val="48076B"/>
        </w:rPr>
        <w:t xml:space="preserve"> </w:t>
      </w:r>
    </w:p>
    <w:p w14:paraId="497261DF" w14:textId="77777777" w:rsidR="00B04E92" w:rsidRPr="00871C5E" w:rsidRDefault="00B70BE9" w:rsidP="00E60900">
      <w:pPr>
        <w:spacing w:before="300" w:after="300"/>
        <w:rPr>
          <w:b/>
        </w:rPr>
      </w:pPr>
      <w:r>
        <w:t xml:space="preserve">It may be possible to </w:t>
      </w:r>
      <w:r w:rsidR="00871C5E">
        <w:t xml:space="preserve">instruct one of our barristers directly. </w:t>
      </w:r>
      <w:r w:rsidR="00871C5E" w:rsidRPr="00871C5E">
        <w:rPr>
          <w:b/>
          <w:color w:val="7030A0"/>
        </w:rPr>
        <w:t>(Link</w:t>
      </w:r>
      <w:r w:rsidR="00871C5E">
        <w:rPr>
          <w:b/>
          <w:color w:val="7030A0"/>
        </w:rPr>
        <w:t>?</w:t>
      </w:r>
      <w:r w:rsidR="00871C5E" w:rsidRPr="00871C5E">
        <w:rPr>
          <w:b/>
          <w:color w:val="7030A0"/>
        </w:rPr>
        <w:t>)</w:t>
      </w:r>
      <w:r w:rsidR="00871C5E">
        <w:t xml:space="preserve"> </w:t>
      </w:r>
    </w:p>
    <w:p w14:paraId="4421794F" w14:textId="77777777" w:rsidR="0062588C" w:rsidRDefault="00A9105F" w:rsidP="0062588C">
      <w:pPr>
        <w:spacing w:before="300" w:after="300"/>
      </w:pPr>
      <w:r>
        <w:t>W</w:t>
      </w:r>
      <w:r w:rsidR="0062588C">
        <w:t>h</w:t>
      </w:r>
      <w:r>
        <w:t>e</w:t>
      </w:r>
      <w:r w:rsidR="0062588C">
        <w:t>re possible we will we</w:t>
      </w:r>
      <w:r>
        <w:t xml:space="preserve"> charge fixed fees, which means that we will charge you a se</w:t>
      </w:r>
      <w:r w:rsidR="0062588C">
        <w:t>t amount of money for the work to be undertaken. Factors typically taken into consideration in providing fee quotations/indications will include:</w:t>
      </w:r>
    </w:p>
    <w:p w14:paraId="5337A89C" w14:textId="77777777" w:rsidR="0062588C" w:rsidRP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Seniority/expertise of Counsel instructed;</w:t>
      </w:r>
    </w:p>
    <w:p w14:paraId="194C4B81" w14:textId="77777777" w:rsidR="0062588C" w:rsidRP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Complexity of the case;</w:t>
      </w:r>
    </w:p>
    <w:p w14:paraId="1EF95DBF" w14:textId="77777777" w:rsidR="0062588C" w:rsidRP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The seriousness of the allegations;</w:t>
      </w:r>
    </w:p>
    <w:p w14:paraId="5F8E1F9B" w14:textId="77777777" w:rsidR="0062588C" w:rsidRP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Preparation time;</w:t>
      </w:r>
    </w:p>
    <w:p w14:paraId="6A5F787D" w14:textId="77777777" w:rsidR="0062588C" w:rsidRP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Length of hearing;</w:t>
      </w:r>
    </w:p>
    <w:p w14:paraId="6B9E44ED" w14:textId="77777777" w:rsid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Any expenses such as hotel or travel.</w:t>
      </w:r>
    </w:p>
    <w:p w14:paraId="31C7190E" w14:textId="77777777" w:rsidR="00974D54" w:rsidRDefault="00974D54" w:rsidP="00974D54">
      <w:pPr>
        <w:spacing w:before="100" w:beforeAutospacing="1" w:after="100" w:afterAutospacing="1"/>
        <w:rPr>
          <w:color w:val="161A23"/>
        </w:rPr>
      </w:pPr>
      <w:r>
        <w:rPr>
          <w:color w:val="161A23"/>
        </w:rPr>
        <w:t xml:space="preserve">No work will be undertaken on your behalf before your agreement to the fees proposed is </w:t>
      </w:r>
      <w:r w:rsidR="008312F2">
        <w:rPr>
          <w:color w:val="161A23"/>
        </w:rPr>
        <w:t>confirmed by your signing and returning of our c</w:t>
      </w:r>
      <w:r w:rsidR="00417DCD">
        <w:rPr>
          <w:color w:val="161A23"/>
        </w:rPr>
        <w:t>lient care letter and we are</w:t>
      </w:r>
      <w:r w:rsidR="008312F2">
        <w:rPr>
          <w:color w:val="161A23"/>
        </w:rPr>
        <w:t xml:space="preserve"> in</w:t>
      </w:r>
      <w:r w:rsidR="00417DCD">
        <w:rPr>
          <w:color w:val="161A23"/>
        </w:rPr>
        <w:t xml:space="preserve"> receipt of</w:t>
      </w:r>
      <w:r w:rsidR="008312F2">
        <w:rPr>
          <w:color w:val="161A23"/>
        </w:rPr>
        <w:t xml:space="preserve"> funds. </w:t>
      </w:r>
    </w:p>
    <w:p w14:paraId="3E1909B9" w14:textId="77777777" w:rsidR="00E754C9" w:rsidRPr="003536BA" w:rsidRDefault="00E754C9" w:rsidP="00E754C9">
      <w:pPr>
        <w:spacing w:before="300" w:after="300"/>
        <w:rPr>
          <w:bCs/>
          <w:color w:val="48076B"/>
        </w:rPr>
      </w:pPr>
      <w:r w:rsidRPr="003536BA">
        <w:rPr>
          <w:bCs/>
          <w:color w:val="48076B"/>
        </w:rPr>
        <w:t>Public Access - Licensing</w:t>
      </w:r>
    </w:p>
    <w:p w14:paraId="6196DDAA" w14:textId="77777777" w:rsidR="008312F2" w:rsidRPr="00974D54" w:rsidRDefault="005878A1" w:rsidP="00974D54">
      <w:pPr>
        <w:spacing w:before="100" w:beforeAutospacing="1" w:after="100" w:afterAutospacing="1"/>
        <w:rPr>
          <w:color w:val="161A23"/>
        </w:rPr>
      </w:pPr>
      <w:r>
        <w:rPr>
          <w:color w:val="161A23"/>
        </w:rPr>
        <w:t>Public Access accredited barristers may be able to assist you with a range of regulatory matters. One such area is licensing applications for your business: the sale or supply of alcohol, change of opening hours</w:t>
      </w:r>
      <w:r w:rsidR="00E754C9">
        <w:rPr>
          <w:color w:val="161A23"/>
        </w:rPr>
        <w:t xml:space="preserve">, and entertainment purposes. </w:t>
      </w:r>
      <w:r w:rsidR="00E25A46">
        <w:rPr>
          <w:color w:val="161A23"/>
        </w:rPr>
        <w:t xml:space="preserve">Fee quotations/indications will be </w:t>
      </w:r>
      <w:r w:rsidR="002C148E">
        <w:rPr>
          <w:color w:val="161A23"/>
        </w:rPr>
        <w:t xml:space="preserve">determined by consideration of the factors listed above. The below table </w:t>
      </w:r>
      <w:r w:rsidR="003536BA">
        <w:rPr>
          <w:color w:val="161A23"/>
        </w:rPr>
        <w:t>sets out the typical key stages of a licensing</w:t>
      </w:r>
      <w:r w:rsidR="00F96C99">
        <w:rPr>
          <w:color w:val="161A23"/>
        </w:rPr>
        <w:t xml:space="preserve"> matter and the likely range of fees payable depending upon the factors listed above.</w:t>
      </w:r>
      <w:r w:rsidR="003536BA">
        <w:rPr>
          <w:color w:val="161A23"/>
        </w:rPr>
        <w:t xml:space="preserve">  </w:t>
      </w:r>
      <w:r w:rsidR="00290E56">
        <w:rPr>
          <w:color w:val="161A23"/>
        </w:rPr>
        <w:t xml:space="preserve"> </w:t>
      </w:r>
    </w:p>
    <w:p w14:paraId="73C2AC54" w14:textId="77777777" w:rsidR="005F58B0" w:rsidRDefault="005F58B0" w:rsidP="0062588C">
      <w:pPr>
        <w:pStyle w:val="ListParagraph"/>
        <w:spacing w:before="100" w:beforeAutospacing="1" w:after="100" w:afterAutospacing="1"/>
        <w:rPr>
          <w:color w:val="161A23"/>
        </w:rPr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5F58B0" w14:paraId="16069D2C" w14:textId="77777777" w:rsidTr="005F58B0">
        <w:tc>
          <w:tcPr>
            <w:tcW w:w="4621" w:type="dxa"/>
          </w:tcPr>
          <w:p w14:paraId="0E5A1019" w14:textId="77777777" w:rsidR="005F58B0" w:rsidRPr="009A231A" w:rsidRDefault="005F58B0" w:rsidP="005F58B0">
            <w:pPr>
              <w:jc w:val="center"/>
              <w:rPr>
                <w:b/>
              </w:rPr>
            </w:pPr>
            <w:r w:rsidRPr="009A231A">
              <w:rPr>
                <w:b/>
              </w:rPr>
              <w:t>Stage of Case</w:t>
            </w:r>
          </w:p>
        </w:tc>
        <w:tc>
          <w:tcPr>
            <w:tcW w:w="4621" w:type="dxa"/>
          </w:tcPr>
          <w:p w14:paraId="3028530B" w14:textId="77777777" w:rsidR="005F58B0" w:rsidRPr="009A231A" w:rsidRDefault="005F58B0" w:rsidP="005F58B0">
            <w:pPr>
              <w:jc w:val="center"/>
              <w:rPr>
                <w:b/>
              </w:rPr>
            </w:pPr>
            <w:r w:rsidRPr="009A231A">
              <w:rPr>
                <w:b/>
              </w:rPr>
              <w:t xml:space="preserve">Ranges of </w:t>
            </w:r>
            <w:r>
              <w:rPr>
                <w:b/>
              </w:rPr>
              <w:t xml:space="preserve">fixed </w:t>
            </w:r>
            <w:r w:rsidRPr="009A231A">
              <w:rPr>
                <w:b/>
              </w:rPr>
              <w:t>fees (estimates)</w:t>
            </w:r>
          </w:p>
        </w:tc>
      </w:tr>
      <w:tr w:rsidR="005F58B0" w14:paraId="5793439F" w14:textId="77777777" w:rsidTr="005F58B0">
        <w:tc>
          <w:tcPr>
            <w:tcW w:w="4621" w:type="dxa"/>
          </w:tcPr>
          <w:p w14:paraId="16C8621A" w14:textId="77777777" w:rsidR="005F58B0" w:rsidRDefault="00F96C99" w:rsidP="005F58B0">
            <w:pPr>
              <w:jc w:val="center"/>
            </w:pPr>
            <w:r>
              <w:t>Written advice on your application</w:t>
            </w:r>
          </w:p>
        </w:tc>
        <w:tc>
          <w:tcPr>
            <w:tcW w:w="4621" w:type="dxa"/>
          </w:tcPr>
          <w:p w14:paraId="20682D01" w14:textId="77777777" w:rsidR="005F58B0" w:rsidRDefault="00693C30" w:rsidP="00C443FA">
            <w:pPr>
              <w:jc w:val="center"/>
            </w:pPr>
            <w:r>
              <w:t xml:space="preserve">£450+VAT - </w:t>
            </w:r>
            <w:r w:rsidR="002C036C">
              <w:t>£2800+VAT</w:t>
            </w:r>
          </w:p>
        </w:tc>
      </w:tr>
      <w:tr w:rsidR="005F58B0" w14:paraId="69C05F38" w14:textId="77777777" w:rsidTr="005F58B0">
        <w:tc>
          <w:tcPr>
            <w:tcW w:w="4621" w:type="dxa"/>
          </w:tcPr>
          <w:p w14:paraId="479616CF" w14:textId="77777777" w:rsidR="005F58B0" w:rsidRDefault="00F96C99" w:rsidP="005F58B0">
            <w:pPr>
              <w:jc w:val="center"/>
            </w:pPr>
            <w:r>
              <w:t>Preparation, including meetings with you and assistance with drafting of application</w:t>
            </w:r>
          </w:p>
        </w:tc>
        <w:tc>
          <w:tcPr>
            <w:tcW w:w="4621" w:type="dxa"/>
          </w:tcPr>
          <w:p w14:paraId="63F5DA30" w14:textId="77777777" w:rsidR="005F58B0" w:rsidRDefault="002C036C" w:rsidP="002C036C">
            <w:pPr>
              <w:jc w:val="center"/>
            </w:pPr>
            <w:r>
              <w:t>£600+VAT - £3500+VAT</w:t>
            </w:r>
          </w:p>
        </w:tc>
      </w:tr>
      <w:tr w:rsidR="005F58B0" w14:paraId="425CD1D7" w14:textId="77777777" w:rsidTr="005F58B0">
        <w:tc>
          <w:tcPr>
            <w:tcW w:w="4621" w:type="dxa"/>
          </w:tcPr>
          <w:p w14:paraId="1411C3E2" w14:textId="77777777" w:rsidR="005F58B0" w:rsidRDefault="00F96C99" w:rsidP="005F58B0">
            <w:pPr>
              <w:jc w:val="center"/>
            </w:pPr>
            <w:r>
              <w:t>Local authority licensing committee hearing</w:t>
            </w:r>
          </w:p>
        </w:tc>
        <w:tc>
          <w:tcPr>
            <w:tcW w:w="4621" w:type="dxa"/>
          </w:tcPr>
          <w:p w14:paraId="08947518" w14:textId="77777777" w:rsidR="005F58B0" w:rsidRDefault="00210409" w:rsidP="00C443FA">
            <w:pPr>
              <w:jc w:val="center"/>
            </w:pPr>
            <w:r>
              <w:t>£750+VAT - £4200+VAT</w:t>
            </w:r>
          </w:p>
        </w:tc>
      </w:tr>
      <w:tr w:rsidR="005F58B0" w14:paraId="66FDBA39" w14:textId="77777777" w:rsidTr="005F58B0">
        <w:tc>
          <w:tcPr>
            <w:tcW w:w="4621" w:type="dxa"/>
          </w:tcPr>
          <w:p w14:paraId="7DEB00D0" w14:textId="77777777" w:rsidR="005F58B0" w:rsidRDefault="00F96C99" w:rsidP="00F96C99">
            <w:pPr>
              <w:jc w:val="center"/>
            </w:pPr>
            <w:r>
              <w:t>Appeal to the Magistrates’ Court – initial hearing</w:t>
            </w:r>
          </w:p>
        </w:tc>
        <w:tc>
          <w:tcPr>
            <w:tcW w:w="4621" w:type="dxa"/>
          </w:tcPr>
          <w:p w14:paraId="3B8B385A" w14:textId="77777777" w:rsidR="005F58B0" w:rsidRDefault="00210409" w:rsidP="005F58B0">
            <w:pPr>
              <w:jc w:val="center"/>
            </w:pPr>
            <w:r>
              <w:t>£300+VAT - £1750+VAT</w:t>
            </w:r>
          </w:p>
        </w:tc>
      </w:tr>
      <w:tr w:rsidR="005F58B0" w14:paraId="52E88BE8" w14:textId="77777777" w:rsidTr="005F58B0">
        <w:tc>
          <w:tcPr>
            <w:tcW w:w="4621" w:type="dxa"/>
          </w:tcPr>
          <w:p w14:paraId="2EDDFB45" w14:textId="77777777" w:rsidR="005F58B0" w:rsidRDefault="00F96C99" w:rsidP="00F96C99">
            <w:pPr>
              <w:jc w:val="center"/>
            </w:pPr>
            <w:r>
              <w:t xml:space="preserve">Appeal to the Magistrates’ Court – full hearing </w:t>
            </w:r>
            <w:r>
              <w:lastRenderedPageBreak/>
              <w:t>(</w:t>
            </w:r>
            <w:r w:rsidR="0070680B">
              <w:t>based on hearing length of up to 1 day)</w:t>
            </w:r>
          </w:p>
        </w:tc>
        <w:tc>
          <w:tcPr>
            <w:tcW w:w="4621" w:type="dxa"/>
          </w:tcPr>
          <w:p w14:paraId="14FD4263" w14:textId="77777777" w:rsidR="005F58B0" w:rsidRDefault="00210409" w:rsidP="005F58B0">
            <w:pPr>
              <w:jc w:val="center"/>
            </w:pPr>
            <w:r>
              <w:lastRenderedPageBreak/>
              <w:t xml:space="preserve">£1200+VAT - </w:t>
            </w:r>
            <w:r w:rsidR="00022AD8">
              <w:t>£7000+VAT</w:t>
            </w:r>
          </w:p>
        </w:tc>
      </w:tr>
      <w:tr w:rsidR="005F58B0" w14:paraId="323A7BB9" w14:textId="77777777" w:rsidTr="005F58B0">
        <w:tc>
          <w:tcPr>
            <w:tcW w:w="4621" w:type="dxa"/>
          </w:tcPr>
          <w:p w14:paraId="3E4C291C" w14:textId="77777777" w:rsidR="005F58B0" w:rsidRDefault="005F58B0" w:rsidP="005F58B0">
            <w:pPr>
              <w:jc w:val="center"/>
            </w:pPr>
            <w:r>
              <w:t>Court appearances per day, after the first day of the final hearing</w:t>
            </w:r>
          </w:p>
        </w:tc>
        <w:tc>
          <w:tcPr>
            <w:tcW w:w="4621" w:type="dxa"/>
          </w:tcPr>
          <w:p w14:paraId="0AD1EB3F" w14:textId="77777777" w:rsidR="005F58B0" w:rsidRDefault="00022AD8" w:rsidP="005F58B0">
            <w:pPr>
              <w:jc w:val="center"/>
            </w:pPr>
            <w:r>
              <w:t>£750+VAT - £3500+VAT</w:t>
            </w:r>
          </w:p>
        </w:tc>
      </w:tr>
      <w:tr w:rsidR="005F58B0" w14:paraId="59317FBC" w14:textId="77777777" w:rsidTr="005F58B0">
        <w:tc>
          <w:tcPr>
            <w:tcW w:w="4621" w:type="dxa"/>
          </w:tcPr>
          <w:p w14:paraId="08A925A7" w14:textId="77777777" w:rsidR="005F58B0" w:rsidRDefault="00C443FA" w:rsidP="005F58B0">
            <w:pPr>
              <w:jc w:val="center"/>
            </w:pPr>
            <w:r>
              <w:t>Hourly Rate indicative range for ad hoc  work falling outside of the above</w:t>
            </w:r>
          </w:p>
        </w:tc>
        <w:tc>
          <w:tcPr>
            <w:tcW w:w="4621" w:type="dxa"/>
          </w:tcPr>
          <w:p w14:paraId="5C16290B" w14:textId="77777777" w:rsidR="005F58B0" w:rsidRDefault="00C443FA" w:rsidP="005F58B0">
            <w:pPr>
              <w:jc w:val="center"/>
            </w:pPr>
            <w:r>
              <w:t>£150 + VAT - £35</w:t>
            </w:r>
            <w:r w:rsidR="005F58B0">
              <w:t>0 + VAT</w:t>
            </w:r>
          </w:p>
        </w:tc>
      </w:tr>
    </w:tbl>
    <w:p w14:paraId="5AFE28FC" w14:textId="77777777" w:rsidR="00022AD8" w:rsidRDefault="00022AD8" w:rsidP="00F85F55">
      <w:pPr>
        <w:spacing w:before="300" w:after="300"/>
        <w:rPr>
          <w:bCs/>
        </w:rPr>
      </w:pPr>
      <w:r w:rsidRPr="003536BA">
        <w:rPr>
          <w:bCs/>
          <w:color w:val="48076B"/>
        </w:rPr>
        <w:t xml:space="preserve">Public Access </w:t>
      </w:r>
      <w:r>
        <w:rPr>
          <w:bCs/>
          <w:color w:val="48076B"/>
        </w:rPr>
        <w:t>–</w:t>
      </w:r>
      <w:r w:rsidRPr="003536BA">
        <w:rPr>
          <w:bCs/>
          <w:color w:val="48076B"/>
        </w:rPr>
        <w:t xml:space="preserve"> Licensing</w:t>
      </w:r>
      <w:r>
        <w:rPr>
          <w:bCs/>
          <w:color w:val="48076B"/>
        </w:rPr>
        <w:t xml:space="preserve"> – Timescales</w:t>
      </w:r>
    </w:p>
    <w:p w14:paraId="637735A5" w14:textId="77777777" w:rsidR="00022AD8" w:rsidRDefault="00022AD8" w:rsidP="00F85F55">
      <w:pPr>
        <w:spacing w:before="300" w:after="300"/>
        <w:rPr>
          <w:bCs/>
        </w:rPr>
      </w:pPr>
      <w:r>
        <w:rPr>
          <w:bCs/>
        </w:rPr>
        <w:t>Timescales for our services may vary depending on factors such as barristers’ availability</w:t>
      </w:r>
      <w:r w:rsidR="00D608DE">
        <w:rPr>
          <w:bCs/>
        </w:rPr>
        <w:t xml:space="preserve">, the complexity of your application and the need for additional documents. </w:t>
      </w:r>
      <w:r w:rsidR="00D608DE">
        <w:rPr>
          <w:bCs/>
          <w:u w:val="single"/>
        </w:rPr>
        <w:t xml:space="preserve">As </w:t>
      </w:r>
      <w:r w:rsidR="00290E56">
        <w:rPr>
          <w:bCs/>
          <w:u w:val="single"/>
        </w:rPr>
        <w:t>a guide</w:t>
      </w:r>
      <w:r w:rsidR="00290E56">
        <w:rPr>
          <w:bCs/>
        </w:rPr>
        <w:t xml:space="preserve">, written advice on your application will be available within 14 to 28 days where possible. </w:t>
      </w:r>
      <w:r w:rsidR="00341707">
        <w:rPr>
          <w:bCs/>
        </w:rPr>
        <w:t xml:space="preserve">Hearing dates for local authority licensing committees are set in advance, and our barristers will aim to represent you on your preferred hearing date </w:t>
      </w:r>
      <w:r w:rsidR="00341707">
        <w:rPr>
          <w:bCs/>
          <w:u w:val="single"/>
        </w:rPr>
        <w:t>where possible</w:t>
      </w:r>
      <w:r w:rsidR="00341707">
        <w:rPr>
          <w:bCs/>
        </w:rPr>
        <w:t>. If the local authority licensing committee refuses your application, appeals must be made to the Magistrates’ Court within 21 days.</w:t>
      </w:r>
    </w:p>
    <w:p w14:paraId="6F51DC92" w14:textId="77777777" w:rsidR="00341707" w:rsidRDefault="00341707" w:rsidP="00F85F55">
      <w:pPr>
        <w:spacing w:before="300" w:after="300"/>
        <w:rPr>
          <w:bCs/>
        </w:rPr>
      </w:pPr>
      <w:r w:rsidRPr="00341707">
        <w:rPr>
          <w:bCs/>
        </w:rPr>
        <w:t xml:space="preserve">All information is correct as of 10/01/2020, </w:t>
      </w:r>
      <w:r w:rsidRPr="00341707">
        <w:rPr>
          <w:b/>
          <w:bCs/>
        </w:rPr>
        <w:t>but fees are estimates only</w:t>
      </w:r>
      <w:r w:rsidRPr="00341707">
        <w:rPr>
          <w:bCs/>
        </w:rPr>
        <w:t xml:space="preserve">. For a quotation, please contact the clerks on 0121 246 7005  or email on </w:t>
      </w:r>
      <w:hyperlink r:id="rId5" w:history="1">
        <w:r w:rsidRPr="00381B09">
          <w:rPr>
            <w:rStyle w:val="Hyperlink"/>
            <w:bCs/>
          </w:rPr>
          <w:t>regulatory@st-philips.com</w:t>
        </w:r>
      </w:hyperlink>
    </w:p>
    <w:p w14:paraId="3287C0E1" w14:textId="77777777" w:rsidR="00341707" w:rsidRPr="00341707" w:rsidRDefault="00341707" w:rsidP="00F85F55">
      <w:pPr>
        <w:spacing w:before="300" w:after="300"/>
        <w:rPr>
          <w:bCs/>
        </w:rPr>
      </w:pPr>
    </w:p>
    <w:sectPr w:rsidR="00341707" w:rsidRPr="00341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657"/>
    <w:multiLevelType w:val="hybridMultilevel"/>
    <w:tmpl w:val="76C4BF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66795"/>
    <w:multiLevelType w:val="hybridMultilevel"/>
    <w:tmpl w:val="4EBE567A"/>
    <w:lvl w:ilvl="0" w:tplc="E850FE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0CC9"/>
    <w:multiLevelType w:val="hybridMultilevel"/>
    <w:tmpl w:val="76C4BF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1726A"/>
    <w:multiLevelType w:val="hybridMultilevel"/>
    <w:tmpl w:val="76C4BF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70B78"/>
    <w:multiLevelType w:val="hybridMultilevel"/>
    <w:tmpl w:val="76C4BF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60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714800">
    <w:abstractNumId w:val="2"/>
  </w:num>
  <w:num w:numId="3" w16cid:durableId="1831016023">
    <w:abstractNumId w:val="4"/>
  </w:num>
  <w:num w:numId="4" w16cid:durableId="1635134568">
    <w:abstractNumId w:val="1"/>
  </w:num>
  <w:num w:numId="5" w16cid:durableId="188184392">
    <w:abstractNumId w:val="3"/>
  </w:num>
  <w:num w:numId="6" w16cid:durableId="188208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1A"/>
    <w:rsid w:val="00022AD8"/>
    <w:rsid w:val="00065B70"/>
    <w:rsid w:val="0007127F"/>
    <w:rsid w:val="001101BC"/>
    <w:rsid w:val="00162FB2"/>
    <w:rsid w:val="001D5BFE"/>
    <w:rsid w:val="001F0872"/>
    <w:rsid w:val="00210409"/>
    <w:rsid w:val="002246A5"/>
    <w:rsid w:val="00286036"/>
    <w:rsid w:val="00290E56"/>
    <w:rsid w:val="002C036C"/>
    <w:rsid w:val="002C148E"/>
    <w:rsid w:val="00341707"/>
    <w:rsid w:val="003536BA"/>
    <w:rsid w:val="00417DCD"/>
    <w:rsid w:val="0042747F"/>
    <w:rsid w:val="005217B2"/>
    <w:rsid w:val="00526D5C"/>
    <w:rsid w:val="005878A1"/>
    <w:rsid w:val="005E494E"/>
    <w:rsid w:val="005F58B0"/>
    <w:rsid w:val="0062588C"/>
    <w:rsid w:val="00626021"/>
    <w:rsid w:val="00693C30"/>
    <w:rsid w:val="0070680B"/>
    <w:rsid w:val="008312F2"/>
    <w:rsid w:val="00871C5E"/>
    <w:rsid w:val="008B1C26"/>
    <w:rsid w:val="008F068D"/>
    <w:rsid w:val="00974D54"/>
    <w:rsid w:val="009A231A"/>
    <w:rsid w:val="009D1EC0"/>
    <w:rsid w:val="00A25208"/>
    <w:rsid w:val="00A9105F"/>
    <w:rsid w:val="00A96F9E"/>
    <w:rsid w:val="00B04E92"/>
    <w:rsid w:val="00B70BE9"/>
    <w:rsid w:val="00C165F1"/>
    <w:rsid w:val="00C443FA"/>
    <w:rsid w:val="00C87B9C"/>
    <w:rsid w:val="00CA5DED"/>
    <w:rsid w:val="00CC455C"/>
    <w:rsid w:val="00D21F99"/>
    <w:rsid w:val="00D608DE"/>
    <w:rsid w:val="00DE056E"/>
    <w:rsid w:val="00E25A46"/>
    <w:rsid w:val="00E60900"/>
    <w:rsid w:val="00E754C9"/>
    <w:rsid w:val="00F267DD"/>
    <w:rsid w:val="00F655D4"/>
    <w:rsid w:val="00F85F55"/>
    <w:rsid w:val="00F96C99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F857"/>
  <w15:chartTrackingRefBased/>
  <w15:docId w15:val="{BC912019-0FE6-4A2D-A7D9-33C1DF6E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90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260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ulatory@st-phili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Burgess</dc:creator>
  <cp:keywords/>
  <dc:description/>
  <cp:lastModifiedBy>Guy Dunwoody</cp:lastModifiedBy>
  <cp:revision>2</cp:revision>
  <cp:lastPrinted>2020-01-14T11:16:00Z</cp:lastPrinted>
  <dcterms:created xsi:type="dcterms:W3CDTF">2022-08-09T11:43:00Z</dcterms:created>
  <dcterms:modified xsi:type="dcterms:W3CDTF">2022-08-09T11:43:00Z</dcterms:modified>
</cp:coreProperties>
</file>